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02C2" w14:textId="25115301" w:rsidR="00BD4D77" w:rsidRPr="00A54633" w:rsidRDefault="00A54633" w:rsidP="00A54633">
      <w:pPr>
        <w:jc w:val="center"/>
        <w:rPr>
          <w:rFonts w:ascii="Times New Roman" w:hAnsi="Times New Roman" w:cs="Times New Roman"/>
          <w:b/>
          <w:bCs/>
          <w:sz w:val="24"/>
          <w:szCs w:val="24"/>
        </w:rPr>
      </w:pPr>
      <w:r w:rsidRPr="00A54633">
        <w:rPr>
          <w:rFonts w:ascii="Times New Roman" w:hAnsi="Times New Roman" w:cs="Times New Roman"/>
          <w:b/>
          <w:bCs/>
          <w:sz w:val="24"/>
          <w:szCs w:val="24"/>
        </w:rPr>
        <w:t xml:space="preserve">Tájékoztató </w:t>
      </w:r>
      <w:r w:rsidRPr="00A54633">
        <w:rPr>
          <w:rFonts w:ascii="Times New Roman" w:hAnsi="Times New Roman" w:cs="Times New Roman"/>
          <w:b/>
          <w:bCs/>
          <w:sz w:val="24"/>
          <w:szCs w:val="24"/>
        </w:rPr>
        <w:t>a családi fogyasztói közösségekre vonatkozó kedvezmények igénybevételének jogosultságát igazoló hatósági bizonyítvány kiállításához</w:t>
      </w:r>
    </w:p>
    <w:p w14:paraId="5C15C228" w14:textId="5A132B5E"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 xml:space="preserve">2022. szeptember 9-én a Magyar Közlöny 146. számában megjelent a családi fogyasztói közösségekre, valamint a családi otthonteremtési kedvezményből megvalósuló tetőtérbeépítésekre vonatkozó kedvezmények bevezetése érdekében az egyes egyetemes szolgáltatási árszabások meghatározásáról szóló 259/2022. (VII. 21.) Korm. rendelet </w:t>
      </w:r>
      <w:r w:rsidR="00583DEE">
        <w:rPr>
          <w:rFonts w:ascii="Times New Roman" w:eastAsia="Times New Roman" w:hAnsi="Times New Roman" w:cs="Times New Roman"/>
          <w:color w:val="1C1E21"/>
          <w:sz w:val="24"/>
          <w:szCs w:val="24"/>
          <w:lang w:eastAsia="hu-HU"/>
        </w:rPr>
        <w:t xml:space="preserve">(a továbbiakban R.) </w:t>
      </w:r>
      <w:r w:rsidRPr="00BD4D77">
        <w:rPr>
          <w:rFonts w:ascii="Times New Roman" w:eastAsia="Times New Roman" w:hAnsi="Times New Roman" w:cs="Times New Roman"/>
          <w:color w:val="1C1E21"/>
          <w:sz w:val="24"/>
          <w:szCs w:val="24"/>
          <w:lang w:eastAsia="hu-HU"/>
        </w:rPr>
        <w:t>módosításáról</w:t>
      </w:r>
      <w:r>
        <w:rPr>
          <w:rFonts w:ascii="Times New Roman" w:eastAsia="Times New Roman" w:hAnsi="Times New Roman" w:cs="Times New Roman"/>
          <w:color w:val="1C1E21"/>
          <w:sz w:val="24"/>
          <w:szCs w:val="24"/>
          <w:lang w:eastAsia="hu-HU"/>
        </w:rPr>
        <w:t xml:space="preserve"> szóló </w:t>
      </w:r>
      <w:r w:rsidRPr="00BD4D77">
        <w:rPr>
          <w:rFonts w:ascii="Times New Roman" w:eastAsia="Times New Roman" w:hAnsi="Times New Roman" w:cs="Times New Roman"/>
          <w:color w:val="1C1E21"/>
          <w:sz w:val="24"/>
          <w:szCs w:val="24"/>
          <w:lang w:eastAsia="hu-HU"/>
        </w:rPr>
        <w:t>345/2022. (IX. 9.) sz. Korm. rendelet, amely új hatáskört és feladatkört ad a jegyzőknek hatósági bizonyítvány kiállítására a lakás rendeltetési egységek számáról ahhoz, hogy a lakossági fogyasztó jogszerűen vegyen igénybe kedvezménnyel elszámolt földgáz mennyiséget.</w:t>
      </w:r>
    </w:p>
    <w:p w14:paraId="49C65EA9" w14:textId="662AFDBB"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5A2A42F9"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b/>
          <w:bCs/>
          <w:color w:val="1C1E21"/>
          <w:sz w:val="24"/>
          <w:szCs w:val="24"/>
          <w:lang w:eastAsia="hu-HU"/>
        </w:rPr>
      </w:pPr>
      <w:r w:rsidRPr="00BD4D77">
        <w:rPr>
          <w:rFonts w:ascii="Times New Roman" w:eastAsia="Times New Roman" w:hAnsi="Times New Roman" w:cs="Times New Roman"/>
          <w:b/>
          <w:bCs/>
          <w:color w:val="1C1E21"/>
          <w:sz w:val="24"/>
          <w:szCs w:val="24"/>
          <w:lang w:eastAsia="hu-HU"/>
        </w:rPr>
        <w:t>A hatósági bizonyítvány kiállítása</w:t>
      </w:r>
    </w:p>
    <w:p w14:paraId="422B5FA7" w14:textId="77777777" w:rsid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22583289" w14:textId="1A54CC39"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 xml:space="preserve">A R. 7/A. § (1)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szerint „a társasháznak, lakásszövetkezetnek nem minősülő ingatlanon belül több, de legfeljebb négy önálló, országos településrendezési és építési követelményekről szóló 253/1997. (XII. 20.) Korm. rendelet (OTÉK) 105. §-a szerinti lakás rendeltetési egység (a továbbiakban: lakás rendeltetési egység) található, a települési önkormányzat jegyzője (a továbbiakban: eljáró hatóság) kérelemre 8 napon belül hatósági bizonyítványt állít ki a lakás rendeltetési egységek számáról.</w:t>
      </w:r>
    </w:p>
    <w:p w14:paraId="2C9770B6" w14:textId="1501654F"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48CBBFC6" w14:textId="77777777" w:rsidR="00BD4D77" w:rsidRPr="00A54633" w:rsidRDefault="00BD4D77" w:rsidP="00BD4D77">
      <w:pPr>
        <w:shd w:val="clear" w:color="auto" w:fill="FFFFFF"/>
        <w:spacing w:after="0" w:line="240" w:lineRule="auto"/>
        <w:jc w:val="both"/>
        <w:rPr>
          <w:rFonts w:ascii="Times New Roman" w:eastAsia="Times New Roman" w:hAnsi="Times New Roman" w:cs="Times New Roman"/>
          <w:i/>
          <w:iCs/>
          <w:color w:val="1C1E21"/>
          <w:sz w:val="24"/>
          <w:szCs w:val="24"/>
          <w:lang w:eastAsia="hu-HU"/>
        </w:rPr>
      </w:pPr>
      <w:r w:rsidRPr="00A54633">
        <w:rPr>
          <w:rFonts w:ascii="Times New Roman" w:eastAsia="Times New Roman" w:hAnsi="Times New Roman" w:cs="Times New Roman"/>
          <w:i/>
          <w:iCs/>
          <w:color w:val="1C1E21"/>
          <w:sz w:val="24"/>
          <w:szCs w:val="24"/>
          <w:lang w:eastAsia="hu-HU"/>
        </w:rPr>
        <w:t xml:space="preserve">Az OTÉK 105. § (1) </w:t>
      </w:r>
      <w:proofErr w:type="spellStart"/>
      <w:r w:rsidRPr="00A54633">
        <w:rPr>
          <w:rFonts w:ascii="Times New Roman" w:eastAsia="Times New Roman" w:hAnsi="Times New Roman" w:cs="Times New Roman"/>
          <w:i/>
          <w:iCs/>
          <w:color w:val="1C1E21"/>
          <w:sz w:val="24"/>
          <w:szCs w:val="24"/>
          <w:lang w:eastAsia="hu-HU"/>
        </w:rPr>
        <w:t>bek</w:t>
      </w:r>
      <w:proofErr w:type="spellEnd"/>
      <w:r w:rsidRPr="00A54633">
        <w:rPr>
          <w:rFonts w:ascii="Times New Roman" w:eastAsia="Times New Roman" w:hAnsi="Times New Roman" w:cs="Times New Roman"/>
          <w:i/>
          <w:iCs/>
          <w:color w:val="1C1E21"/>
          <w:sz w:val="24"/>
          <w:szCs w:val="24"/>
          <w:lang w:eastAsia="hu-HU"/>
        </w:rPr>
        <w:t xml:space="preserve">. alapján </w:t>
      </w:r>
      <w:r w:rsidRPr="00A54633">
        <w:rPr>
          <w:rFonts w:ascii="Times New Roman" w:eastAsia="Times New Roman" w:hAnsi="Times New Roman" w:cs="Times New Roman"/>
          <w:b/>
          <w:bCs/>
          <w:i/>
          <w:iCs/>
          <w:color w:val="1C1E21"/>
          <w:sz w:val="24"/>
          <w:szCs w:val="24"/>
          <w:lang w:eastAsia="hu-HU"/>
        </w:rPr>
        <w:t>a lakás olyan huzamos tartózkodás céljára szolgáló önálló rendeltetési egység</w:t>
      </w:r>
      <w:r w:rsidRPr="00A54633">
        <w:rPr>
          <w:rFonts w:ascii="Times New Roman" w:eastAsia="Times New Roman" w:hAnsi="Times New Roman" w:cs="Times New Roman"/>
          <w:i/>
          <w:iCs/>
          <w:color w:val="1C1E21"/>
          <w:sz w:val="24"/>
          <w:szCs w:val="24"/>
          <w:lang w:eastAsia="hu-HU"/>
        </w:rPr>
        <w:t>,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4B88D79C" w14:textId="77777777" w:rsidR="00BD4D77" w:rsidRPr="00A54633" w:rsidRDefault="00BD4D77" w:rsidP="00BD4D77">
      <w:pPr>
        <w:shd w:val="clear" w:color="auto" w:fill="FFFFFF"/>
        <w:spacing w:after="0" w:line="240" w:lineRule="auto"/>
        <w:jc w:val="both"/>
        <w:rPr>
          <w:rFonts w:ascii="Times New Roman" w:eastAsia="Times New Roman" w:hAnsi="Times New Roman" w:cs="Times New Roman"/>
          <w:i/>
          <w:iCs/>
          <w:color w:val="1C1E21"/>
          <w:sz w:val="24"/>
          <w:szCs w:val="24"/>
          <w:lang w:eastAsia="hu-HU"/>
        </w:rPr>
      </w:pPr>
      <w:r w:rsidRPr="00A54633">
        <w:rPr>
          <w:rFonts w:ascii="Times New Roman" w:eastAsia="Times New Roman" w:hAnsi="Times New Roman" w:cs="Times New Roman"/>
          <w:i/>
          <w:iCs/>
          <w:color w:val="1C1E21"/>
          <w:sz w:val="24"/>
          <w:szCs w:val="24"/>
          <w:lang w:eastAsia="hu-HU"/>
        </w:rPr>
        <w:t>a) a pihenést (az alvást) és az otthoni tevékenységek folytatását,</w:t>
      </w:r>
    </w:p>
    <w:p w14:paraId="5BC45CDA" w14:textId="77777777" w:rsidR="00BD4D77" w:rsidRPr="00A54633" w:rsidRDefault="00BD4D77" w:rsidP="00BD4D77">
      <w:pPr>
        <w:shd w:val="clear" w:color="auto" w:fill="FFFFFF"/>
        <w:spacing w:after="0" w:line="240" w:lineRule="auto"/>
        <w:jc w:val="both"/>
        <w:rPr>
          <w:rFonts w:ascii="Times New Roman" w:eastAsia="Times New Roman" w:hAnsi="Times New Roman" w:cs="Times New Roman"/>
          <w:i/>
          <w:iCs/>
          <w:color w:val="1C1E21"/>
          <w:sz w:val="24"/>
          <w:szCs w:val="24"/>
          <w:lang w:eastAsia="hu-HU"/>
        </w:rPr>
      </w:pPr>
      <w:r w:rsidRPr="00A54633">
        <w:rPr>
          <w:rFonts w:ascii="Times New Roman" w:eastAsia="Times New Roman" w:hAnsi="Times New Roman" w:cs="Times New Roman"/>
          <w:i/>
          <w:iCs/>
          <w:color w:val="1C1E21"/>
          <w:sz w:val="24"/>
          <w:szCs w:val="24"/>
          <w:lang w:eastAsia="hu-HU"/>
        </w:rPr>
        <w:t>b) a főzést, mosogatást és az étkezést,</w:t>
      </w:r>
    </w:p>
    <w:p w14:paraId="172B0797" w14:textId="77777777" w:rsidR="00BD4D77" w:rsidRPr="00A54633" w:rsidRDefault="00BD4D77" w:rsidP="00BD4D77">
      <w:pPr>
        <w:shd w:val="clear" w:color="auto" w:fill="FFFFFF"/>
        <w:spacing w:after="0" w:line="240" w:lineRule="auto"/>
        <w:jc w:val="both"/>
        <w:rPr>
          <w:rFonts w:ascii="Times New Roman" w:eastAsia="Times New Roman" w:hAnsi="Times New Roman" w:cs="Times New Roman"/>
          <w:i/>
          <w:iCs/>
          <w:color w:val="1C1E21"/>
          <w:sz w:val="24"/>
          <w:szCs w:val="24"/>
          <w:lang w:eastAsia="hu-HU"/>
        </w:rPr>
      </w:pPr>
      <w:r w:rsidRPr="00A54633">
        <w:rPr>
          <w:rFonts w:ascii="Times New Roman" w:eastAsia="Times New Roman" w:hAnsi="Times New Roman" w:cs="Times New Roman"/>
          <w:i/>
          <w:iCs/>
          <w:color w:val="1C1E21"/>
          <w:sz w:val="24"/>
          <w:szCs w:val="24"/>
          <w:lang w:eastAsia="hu-HU"/>
        </w:rPr>
        <w:t>c) a tisztálkodást, a mosást, az illemhely-használatot,</w:t>
      </w:r>
    </w:p>
    <w:p w14:paraId="68CEF103" w14:textId="7F8E7726" w:rsidR="00BD4D77" w:rsidRPr="00A54633" w:rsidRDefault="00BD4D77" w:rsidP="00BD4D77">
      <w:pPr>
        <w:shd w:val="clear" w:color="auto" w:fill="FFFFFF"/>
        <w:spacing w:after="0" w:line="240" w:lineRule="auto"/>
        <w:jc w:val="both"/>
        <w:rPr>
          <w:rFonts w:ascii="Times New Roman" w:eastAsia="Times New Roman" w:hAnsi="Times New Roman" w:cs="Times New Roman"/>
          <w:i/>
          <w:iCs/>
          <w:color w:val="1C1E21"/>
          <w:sz w:val="24"/>
          <w:szCs w:val="24"/>
          <w:lang w:eastAsia="hu-HU"/>
        </w:rPr>
      </w:pPr>
      <w:r w:rsidRPr="00A54633">
        <w:rPr>
          <w:rFonts w:ascii="Times New Roman" w:eastAsia="Times New Roman" w:hAnsi="Times New Roman" w:cs="Times New Roman"/>
          <w:i/>
          <w:iCs/>
          <w:color w:val="1C1E21"/>
          <w:sz w:val="24"/>
          <w:szCs w:val="24"/>
          <w:lang w:eastAsia="hu-HU"/>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226DBE5E" w14:textId="77777777" w:rsidR="00583DEE" w:rsidRPr="00A54633" w:rsidRDefault="00583DEE" w:rsidP="00583DEE">
      <w:pPr>
        <w:spacing w:after="0"/>
        <w:rPr>
          <w:rFonts w:ascii="Times New Roman" w:hAnsi="Times New Roman" w:cs="Times New Roman"/>
          <w:i/>
          <w:iCs/>
          <w:sz w:val="24"/>
          <w:szCs w:val="24"/>
        </w:rPr>
      </w:pPr>
    </w:p>
    <w:p w14:paraId="177DF1BB" w14:textId="5956FFDA" w:rsidR="00583DEE" w:rsidRPr="00A54633" w:rsidRDefault="00583DEE" w:rsidP="00583DEE">
      <w:pPr>
        <w:spacing w:after="0"/>
        <w:rPr>
          <w:rFonts w:ascii="Times New Roman" w:hAnsi="Times New Roman" w:cs="Times New Roman"/>
          <w:i/>
          <w:iCs/>
          <w:sz w:val="24"/>
          <w:szCs w:val="24"/>
        </w:rPr>
      </w:pPr>
      <w:r w:rsidRPr="00A54633">
        <w:rPr>
          <w:rFonts w:ascii="Times New Roman" w:hAnsi="Times New Roman" w:cs="Times New Roman"/>
          <w:i/>
          <w:iCs/>
          <w:sz w:val="24"/>
          <w:szCs w:val="24"/>
        </w:rPr>
        <w:t>OTÉK 1. számú melléklet</w:t>
      </w:r>
      <w:r w:rsidR="00A54633" w:rsidRPr="00A54633">
        <w:rPr>
          <w:rFonts w:ascii="Times New Roman" w:hAnsi="Times New Roman" w:cs="Times New Roman"/>
          <w:i/>
          <w:iCs/>
          <w:sz w:val="24"/>
          <w:szCs w:val="24"/>
        </w:rPr>
        <w:t>:</w:t>
      </w:r>
      <w:r w:rsidRPr="00A54633">
        <w:rPr>
          <w:rFonts w:ascii="Times New Roman" w:hAnsi="Times New Roman" w:cs="Times New Roman"/>
          <w:i/>
          <w:iCs/>
          <w:sz w:val="24"/>
          <w:szCs w:val="24"/>
        </w:rPr>
        <w:br/>
        <w:t>95. Önálló rendeltetési egység: meghatározott rendeltetés céljára önmagában alkalmas helyiség vagy helyiségcsoport, amelynek a szabadból vagy az épületen belüli közös közlekedőből nyíló önálló bejárata van</w:t>
      </w:r>
    </w:p>
    <w:p w14:paraId="6600F307" w14:textId="719840CB"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4D7845CF"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b/>
          <w:bCs/>
          <w:color w:val="1C1E21"/>
          <w:sz w:val="24"/>
          <w:szCs w:val="24"/>
          <w:lang w:eastAsia="hu-HU"/>
        </w:rPr>
      </w:pPr>
      <w:r w:rsidRPr="00BD4D77">
        <w:rPr>
          <w:rFonts w:ascii="Times New Roman" w:eastAsia="Times New Roman" w:hAnsi="Times New Roman" w:cs="Times New Roman"/>
          <w:b/>
          <w:bCs/>
          <w:color w:val="1C1E21"/>
          <w:sz w:val="24"/>
          <w:szCs w:val="24"/>
          <w:lang w:eastAsia="hu-HU"/>
        </w:rPr>
        <w:t>A hatósági bizonyítvány kiállításának feltétele, hogy</w:t>
      </w:r>
    </w:p>
    <w:p w14:paraId="1A1AF01E" w14:textId="4266D33C"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1. a kérelmezett ingatlan társasháznak, lakásszövetkezetnek nem minősül;</w:t>
      </w:r>
    </w:p>
    <w:p w14:paraId="167A612E"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2. a kérelmezett ingatlanban 2-4 lakás található (ezek számáról állítja ki a jegyző a hatósági bizonyítványt)</w:t>
      </w:r>
    </w:p>
    <w:p w14:paraId="6FEED09D" w14:textId="78FA9551"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A R. nem azonosítja a kérelmező személyét, csak arról rendelkezik a R. 7/A. §</w:t>
      </w:r>
      <w:r>
        <w:rPr>
          <w:rFonts w:ascii="Times New Roman" w:eastAsia="Times New Roman" w:hAnsi="Times New Roman" w:cs="Times New Roman"/>
          <w:color w:val="1C1E21"/>
          <w:sz w:val="24"/>
          <w:szCs w:val="24"/>
          <w:lang w:eastAsia="hu-HU"/>
        </w:rPr>
        <w:t xml:space="preserve"> </w:t>
      </w:r>
      <w:r w:rsidRPr="00BD4D77">
        <w:rPr>
          <w:rFonts w:ascii="Times New Roman" w:eastAsia="Times New Roman" w:hAnsi="Times New Roman" w:cs="Times New Roman"/>
          <w:color w:val="1C1E21"/>
          <w:sz w:val="24"/>
          <w:szCs w:val="24"/>
          <w:lang w:eastAsia="hu-HU"/>
        </w:rPr>
        <w:t xml:space="preserve">(6)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xml:space="preserve">., hogy a lakossági fogyasztó nyújtja be a hatósági bizonyítványt az egyetemes szolgáltató részére. </w:t>
      </w:r>
    </w:p>
    <w:p w14:paraId="37C60C00" w14:textId="37992CEC"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43C7244E"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A földgázellátásról szóló 2008. évi XL. törvény (</w:t>
      </w:r>
      <w:proofErr w:type="spellStart"/>
      <w:r w:rsidRPr="00BD4D77">
        <w:rPr>
          <w:rFonts w:ascii="Times New Roman" w:eastAsia="Times New Roman" w:hAnsi="Times New Roman" w:cs="Times New Roman"/>
          <w:color w:val="1C1E21"/>
          <w:sz w:val="24"/>
          <w:szCs w:val="24"/>
          <w:lang w:eastAsia="hu-HU"/>
        </w:rPr>
        <w:t>Get</w:t>
      </w:r>
      <w:proofErr w:type="spellEnd"/>
      <w:r w:rsidRPr="00BD4D77">
        <w:rPr>
          <w:rFonts w:ascii="Times New Roman" w:eastAsia="Times New Roman" w:hAnsi="Times New Roman" w:cs="Times New Roman"/>
          <w:color w:val="1C1E21"/>
          <w:sz w:val="24"/>
          <w:szCs w:val="24"/>
          <w:lang w:eastAsia="hu-HU"/>
        </w:rPr>
        <w:t xml:space="preserve">.) 3. § 47. pontja szerint „lakossági fogyasztó: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w:t>
      </w:r>
      <w:r w:rsidRPr="00BD4D77">
        <w:rPr>
          <w:rFonts w:ascii="Times New Roman" w:eastAsia="Times New Roman" w:hAnsi="Times New Roman" w:cs="Times New Roman"/>
          <w:color w:val="1C1E21"/>
          <w:sz w:val="24"/>
          <w:szCs w:val="24"/>
          <w:lang w:eastAsia="hu-HU"/>
        </w:rPr>
        <w:lastRenderedPageBreak/>
        <w:t>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p>
    <w:p w14:paraId="49C8A90A" w14:textId="36521E58"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3209C345"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 xml:space="preserve">A R. 7/A. § (1)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xml:space="preserve"> (2)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szerint „a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14:paraId="3B94F15A"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 xml:space="preserve">A (3)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szerint a hatósági bizonyítvány csak az e § szerinti kedvezmény igénybevétele céljából használható fel. Az erre vonatkozó figyelemfelhívást a hatósági bizonyítvány tartalmazza.</w:t>
      </w:r>
    </w:p>
    <w:p w14:paraId="5BFBE7E1"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 xml:space="preserve">A (4)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szerint a hatósági bizonyítvány kiadására irányuló ügyekben – az általános közigazgatási rendtartásról szóló 2016. évi CL. törvény (</w:t>
      </w:r>
      <w:proofErr w:type="spellStart"/>
      <w:r w:rsidRPr="00BD4D77">
        <w:rPr>
          <w:rFonts w:ascii="Times New Roman" w:eastAsia="Times New Roman" w:hAnsi="Times New Roman" w:cs="Times New Roman"/>
          <w:color w:val="1C1E21"/>
          <w:sz w:val="24"/>
          <w:szCs w:val="24"/>
          <w:lang w:eastAsia="hu-HU"/>
        </w:rPr>
        <w:t>Ákr</w:t>
      </w:r>
      <w:proofErr w:type="spellEnd"/>
      <w:r w:rsidRPr="00BD4D77">
        <w:rPr>
          <w:rFonts w:ascii="Times New Roman" w:eastAsia="Times New Roman" w:hAnsi="Times New Roman" w:cs="Times New Roman"/>
          <w:color w:val="1C1E21"/>
          <w:sz w:val="24"/>
          <w:szCs w:val="24"/>
          <w:lang w:eastAsia="hu-HU"/>
        </w:rPr>
        <w:t>.) 116. § (2) bekezdés a) pontjától eltérően – fellebbezésnek nincs helye. A Kormány a hatósági bizonyítvány kiadásával kapcsolatos ügyekben az eljáró hatóság felügyeleti szerveként az építésügyi hatóságot jelöli ki.</w:t>
      </w:r>
    </w:p>
    <w:p w14:paraId="69FB88F0" w14:textId="2727D2CC"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71C15619"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Az építésügyi és az építésfelügyeleti hatóságok kijelöléséről és működési feltételeiről szóló 343/2006. (XII. 23.) Korm. rendelet 1. § szerint az építésügyi hatósági feladatokat ellátó általános építésügyi hatóság a fővárosi és megyei kormányhivatal.</w:t>
      </w:r>
    </w:p>
    <w:p w14:paraId="2110E10A" w14:textId="3DCEAE9B"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1F95FC19"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A hatósági bizonyítvány felhasználása</w:t>
      </w:r>
    </w:p>
    <w:p w14:paraId="57F51F27"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 xml:space="preserve">A R. 7/A. § (6)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xml:space="preserve">. alapján „a lakossági fogyasztó nyújtja be a hatósági bizonyítványt az egyetemes szolgáltató részére. </w:t>
      </w:r>
    </w:p>
    <w:p w14:paraId="71B8ED5D"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 xml:space="preserve">A R. 7/A. § (7)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xml:space="preserve">.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46719FF5" w14:textId="3D0D49A0"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101253B2"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b/>
          <w:bCs/>
          <w:color w:val="1C1E21"/>
          <w:sz w:val="24"/>
          <w:szCs w:val="24"/>
          <w:lang w:eastAsia="hu-HU"/>
        </w:rPr>
      </w:pPr>
      <w:r w:rsidRPr="00BD4D77">
        <w:rPr>
          <w:rFonts w:ascii="Times New Roman" w:eastAsia="Times New Roman" w:hAnsi="Times New Roman" w:cs="Times New Roman"/>
          <w:b/>
          <w:bCs/>
          <w:color w:val="1C1E21"/>
          <w:sz w:val="24"/>
          <w:szCs w:val="24"/>
          <w:lang w:eastAsia="hu-HU"/>
        </w:rPr>
        <w:t>Jogorvoslat</w:t>
      </w:r>
    </w:p>
    <w:p w14:paraId="33C88BBE"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2A219767" w14:textId="1DC54A61"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A R. 7/A. § (</w:t>
      </w:r>
      <w:r w:rsidRPr="00BD4D77">
        <w:rPr>
          <w:rFonts w:ascii="Times New Roman" w:eastAsia="Times New Roman" w:hAnsi="Times New Roman" w:cs="Times New Roman"/>
          <w:noProof/>
          <w:color w:val="1C1E21"/>
          <w:sz w:val="24"/>
          <w:szCs w:val="24"/>
          <w:lang w:eastAsia="hu-HU"/>
        </w:rPr>
        <w:t>8)</w:t>
      </w:r>
      <w:r w:rsidRPr="00BD4D77">
        <w:rPr>
          <w:rFonts w:ascii="Times New Roman" w:eastAsia="Times New Roman" w:hAnsi="Times New Roman" w:cs="Times New Roman"/>
          <w:color w:val="1C1E21"/>
          <w:sz w:val="24"/>
          <w:szCs w:val="24"/>
          <w:lang w:eastAsia="hu-HU"/>
        </w:rPr>
        <w:t xml:space="preserve">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xml:space="preserve">. alapján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 A (9)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szerint „a felügyeleti szerv a (</w:t>
      </w:r>
      <w:r w:rsidRPr="00BD4D77">
        <w:rPr>
          <w:rFonts w:ascii="Times New Roman" w:eastAsia="Times New Roman" w:hAnsi="Times New Roman" w:cs="Times New Roman"/>
          <w:noProof/>
          <w:color w:val="1C1E21"/>
          <w:sz w:val="24"/>
          <w:szCs w:val="24"/>
          <w:lang w:eastAsia="hu-HU"/>
        </w:rPr>
        <w:t>8)</w:t>
      </w:r>
      <w:r w:rsidRPr="00BD4D77">
        <w:rPr>
          <w:rFonts w:ascii="Times New Roman" w:eastAsia="Times New Roman" w:hAnsi="Times New Roman" w:cs="Times New Roman"/>
          <w:color w:val="1C1E21"/>
          <w:sz w:val="24"/>
          <w:szCs w:val="24"/>
          <w:lang w:eastAsia="hu-HU"/>
        </w:rPr>
        <w:t xml:space="preserve"> bekezdésben foglalt megkereséstől, illetve az eljáró hatóság által végzett ellenőrzéstől függetlenül, saját hatáskörben is jogosult hatósági ellenőrzés lefolytatására.”</w:t>
      </w:r>
    </w:p>
    <w:p w14:paraId="65BA05AF" w14:textId="41CE4662"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p>
    <w:p w14:paraId="2C78FE6A" w14:textId="77777777" w:rsidR="00BD4D77" w:rsidRPr="00BD4D77" w:rsidRDefault="00BD4D77" w:rsidP="00BD4D77">
      <w:pPr>
        <w:shd w:val="clear" w:color="auto" w:fill="FFFFFF"/>
        <w:spacing w:after="0"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 xml:space="preserve">A (10)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szerint „a hatósági bizonyítvány jogorvoslati eljárás keretében történő felülvizsgálata során a jogorvoslati döntést a jóhiszeműen szerzett és gyakorolt jogokra tekintet nélkül kell meghozni.”</w:t>
      </w:r>
    </w:p>
    <w:p w14:paraId="38C4FB4E" w14:textId="77777777" w:rsidR="00BD4D77" w:rsidRPr="00BD4D77" w:rsidRDefault="00BD4D77" w:rsidP="00BD4D77">
      <w:pPr>
        <w:shd w:val="clear" w:color="auto" w:fill="FFFFFF"/>
        <w:spacing w:after="75" w:line="240" w:lineRule="auto"/>
        <w:jc w:val="both"/>
        <w:rPr>
          <w:rFonts w:ascii="Times New Roman" w:eastAsia="Times New Roman" w:hAnsi="Times New Roman" w:cs="Times New Roman"/>
          <w:color w:val="1C1E21"/>
          <w:sz w:val="24"/>
          <w:szCs w:val="24"/>
          <w:lang w:eastAsia="hu-HU"/>
        </w:rPr>
      </w:pPr>
      <w:r w:rsidRPr="00BD4D77">
        <w:rPr>
          <w:rFonts w:ascii="Times New Roman" w:eastAsia="Times New Roman" w:hAnsi="Times New Roman" w:cs="Times New Roman"/>
          <w:color w:val="1C1E21"/>
          <w:sz w:val="24"/>
          <w:szCs w:val="24"/>
          <w:lang w:eastAsia="hu-HU"/>
        </w:rPr>
        <w:t xml:space="preserve">A (11) </w:t>
      </w:r>
      <w:proofErr w:type="spellStart"/>
      <w:r w:rsidRPr="00BD4D77">
        <w:rPr>
          <w:rFonts w:ascii="Times New Roman" w:eastAsia="Times New Roman" w:hAnsi="Times New Roman" w:cs="Times New Roman"/>
          <w:color w:val="1C1E21"/>
          <w:sz w:val="24"/>
          <w:szCs w:val="24"/>
          <w:lang w:eastAsia="hu-HU"/>
        </w:rPr>
        <w:t>bek</w:t>
      </w:r>
      <w:proofErr w:type="spellEnd"/>
      <w:r w:rsidRPr="00BD4D77">
        <w:rPr>
          <w:rFonts w:ascii="Times New Roman" w:eastAsia="Times New Roman" w:hAnsi="Times New Roman" w:cs="Times New Roman"/>
          <w:color w:val="1C1E21"/>
          <w:sz w:val="24"/>
          <w:szCs w:val="24"/>
          <w:lang w:eastAsia="hu-HU"/>
        </w:rPr>
        <w:t>. szerint „ha a (7)–(9) bekezdés alapján indult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 (…)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3944B97F" w14:textId="77777777" w:rsidR="00BD4D77" w:rsidRPr="00BD4D77" w:rsidRDefault="00BD4D77" w:rsidP="00BD4D77">
      <w:pPr>
        <w:jc w:val="both"/>
        <w:rPr>
          <w:rFonts w:ascii="Times New Roman" w:hAnsi="Times New Roman" w:cs="Times New Roman"/>
          <w:sz w:val="24"/>
          <w:szCs w:val="24"/>
        </w:rPr>
      </w:pPr>
    </w:p>
    <w:sectPr w:rsidR="00BD4D77" w:rsidRPr="00BD4D77" w:rsidSect="00A5463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77"/>
    <w:rsid w:val="00583DEE"/>
    <w:rsid w:val="00A54633"/>
    <w:rsid w:val="00BD4D77"/>
    <w:rsid w:val="00F31F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F717"/>
  <w15:chartTrackingRefBased/>
  <w15:docId w15:val="{BC424377-CFA6-4EDD-94BC-86C1DD6F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BD4D7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D4D77"/>
    <w:rPr>
      <w:rFonts w:ascii="Times New Roman" w:eastAsia="Times New Roman" w:hAnsi="Times New Roman" w:cs="Times New Roman"/>
      <w:b/>
      <w:bCs/>
      <w:sz w:val="27"/>
      <w:szCs w:val="27"/>
      <w:lang w:eastAsia="hu-HU"/>
    </w:rPr>
  </w:style>
  <w:style w:type="character" w:customStyle="1" w:styleId="gvxzyvdx">
    <w:name w:val="gvxzyvdx"/>
    <w:basedOn w:val="Bekezdsalapbettpusa"/>
    <w:rsid w:val="00BD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67948">
      <w:bodyDiv w:val="1"/>
      <w:marLeft w:val="0"/>
      <w:marRight w:val="0"/>
      <w:marTop w:val="0"/>
      <w:marBottom w:val="0"/>
      <w:divBdr>
        <w:top w:val="none" w:sz="0" w:space="0" w:color="auto"/>
        <w:left w:val="none" w:sz="0" w:space="0" w:color="auto"/>
        <w:bottom w:val="none" w:sz="0" w:space="0" w:color="auto"/>
        <w:right w:val="none" w:sz="0" w:space="0" w:color="auto"/>
      </w:divBdr>
      <w:divsChild>
        <w:div w:id="826821708">
          <w:marLeft w:val="0"/>
          <w:marRight w:val="0"/>
          <w:marTop w:val="0"/>
          <w:marBottom w:val="0"/>
          <w:divBdr>
            <w:top w:val="none" w:sz="0" w:space="0" w:color="auto"/>
            <w:left w:val="none" w:sz="0" w:space="0" w:color="auto"/>
            <w:bottom w:val="none" w:sz="0" w:space="0" w:color="auto"/>
            <w:right w:val="none" w:sz="0" w:space="0" w:color="auto"/>
          </w:divBdr>
          <w:divsChild>
            <w:div w:id="1531603176">
              <w:marLeft w:val="180"/>
              <w:marRight w:val="180"/>
              <w:marTop w:val="0"/>
              <w:marBottom w:val="0"/>
              <w:divBdr>
                <w:top w:val="single" w:sz="6" w:space="0" w:color="auto"/>
                <w:left w:val="single" w:sz="6" w:space="0" w:color="auto"/>
                <w:bottom w:val="single" w:sz="6" w:space="0" w:color="auto"/>
                <w:right w:val="single" w:sz="6" w:space="0" w:color="auto"/>
              </w:divBdr>
              <w:divsChild>
                <w:div w:id="173616944">
                  <w:marLeft w:val="0"/>
                  <w:marRight w:val="0"/>
                  <w:marTop w:val="0"/>
                  <w:marBottom w:val="0"/>
                  <w:divBdr>
                    <w:top w:val="none" w:sz="0" w:space="0" w:color="auto"/>
                    <w:left w:val="none" w:sz="0" w:space="0" w:color="auto"/>
                    <w:bottom w:val="none" w:sz="0" w:space="0" w:color="auto"/>
                    <w:right w:val="none" w:sz="0" w:space="0" w:color="auto"/>
                  </w:divBdr>
                  <w:divsChild>
                    <w:div w:id="776212538">
                      <w:marLeft w:val="0"/>
                      <w:marRight w:val="0"/>
                      <w:marTop w:val="0"/>
                      <w:marBottom w:val="0"/>
                      <w:divBdr>
                        <w:top w:val="none" w:sz="0" w:space="0" w:color="auto"/>
                        <w:left w:val="none" w:sz="0" w:space="0" w:color="auto"/>
                        <w:bottom w:val="none" w:sz="0" w:space="0" w:color="auto"/>
                        <w:right w:val="none" w:sz="0" w:space="0" w:color="auto"/>
                      </w:divBdr>
                      <w:divsChild>
                        <w:div w:id="1405179517">
                          <w:marLeft w:val="0"/>
                          <w:marRight w:val="0"/>
                          <w:marTop w:val="0"/>
                          <w:marBottom w:val="0"/>
                          <w:divBdr>
                            <w:top w:val="none" w:sz="0" w:space="0" w:color="auto"/>
                            <w:left w:val="none" w:sz="0" w:space="0" w:color="auto"/>
                            <w:bottom w:val="none" w:sz="0" w:space="0" w:color="auto"/>
                            <w:right w:val="none" w:sz="0" w:space="0" w:color="auto"/>
                          </w:divBdr>
                          <w:divsChild>
                            <w:div w:id="1562256115">
                              <w:marLeft w:val="0"/>
                              <w:marRight w:val="0"/>
                              <w:marTop w:val="0"/>
                              <w:marBottom w:val="0"/>
                              <w:divBdr>
                                <w:top w:val="none" w:sz="0" w:space="0" w:color="auto"/>
                                <w:left w:val="none" w:sz="0" w:space="0" w:color="auto"/>
                                <w:bottom w:val="none" w:sz="0" w:space="0" w:color="auto"/>
                                <w:right w:val="none" w:sz="0" w:space="0" w:color="auto"/>
                              </w:divBdr>
                              <w:divsChild>
                                <w:div w:id="1412502161">
                                  <w:marLeft w:val="0"/>
                                  <w:marRight w:val="0"/>
                                  <w:marTop w:val="0"/>
                                  <w:marBottom w:val="0"/>
                                  <w:divBdr>
                                    <w:top w:val="none" w:sz="0" w:space="0" w:color="auto"/>
                                    <w:left w:val="none" w:sz="0" w:space="0" w:color="auto"/>
                                    <w:bottom w:val="none" w:sz="0" w:space="0" w:color="auto"/>
                                    <w:right w:val="none" w:sz="0" w:space="0" w:color="auto"/>
                                  </w:divBdr>
                                  <w:divsChild>
                                    <w:div w:id="1305626858">
                                      <w:marLeft w:val="0"/>
                                      <w:marRight w:val="0"/>
                                      <w:marTop w:val="0"/>
                                      <w:marBottom w:val="0"/>
                                      <w:divBdr>
                                        <w:top w:val="none" w:sz="0" w:space="0" w:color="auto"/>
                                        <w:left w:val="none" w:sz="0" w:space="0" w:color="auto"/>
                                        <w:bottom w:val="none" w:sz="0" w:space="0" w:color="auto"/>
                                        <w:right w:val="none" w:sz="0" w:space="0" w:color="auto"/>
                                      </w:divBdr>
                                      <w:divsChild>
                                        <w:div w:id="518589546">
                                          <w:marLeft w:val="0"/>
                                          <w:marRight w:val="0"/>
                                          <w:marTop w:val="75"/>
                                          <w:marBottom w:val="75"/>
                                          <w:divBdr>
                                            <w:top w:val="none" w:sz="0" w:space="0" w:color="auto"/>
                                            <w:left w:val="none" w:sz="0" w:space="0" w:color="auto"/>
                                            <w:bottom w:val="none" w:sz="0" w:space="0" w:color="auto"/>
                                            <w:right w:val="none" w:sz="0" w:space="0" w:color="auto"/>
                                          </w:divBdr>
                                          <w:divsChild>
                                            <w:div w:id="71242300">
                                              <w:marLeft w:val="0"/>
                                              <w:marRight w:val="0"/>
                                              <w:marTop w:val="0"/>
                                              <w:marBottom w:val="0"/>
                                              <w:divBdr>
                                                <w:top w:val="none" w:sz="0" w:space="0" w:color="auto"/>
                                                <w:left w:val="none" w:sz="0" w:space="0" w:color="auto"/>
                                                <w:bottom w:val="none" w:sz="0" w:space="0" w:color="auto"/>
                                                <w:right w:val="none" w:sz="0" w:space="0" w:color="auto"/>
                                              </w:divBdr>
                                              <w:divsChild>
                                                <w:div w:id="1553542763">
                                                  <w:marLeft w:val="0"/>
                                                  <w:marRight w:val="0"/>
                                                  <w:marTop w:val="0"/>
                                                  <w:marBottom w:val="0"/>
                                                  <w:divBdr>
                                                    <w:top w:val="none" w:sz="0" w:space="0" w:color="auto"/>
                                                    <w:left w:val="none" w:sz="0" w:space="0" w:color="auto"/>
                                                    <w:bottom w:val="none" w:sz="0" w:space="0" w:color="auto"/>
                                                    <w:right w:val="none" w:sz="0" w:space="0" w:color="auto"/>
                                                  </w:divBdr>
                                                </w:div>
                                                <w:div w:id="1578977923">
                                                  <w:marLeft w:val="0"/>
                                                  <w:marRight w:val="0"/>
                                                  <w:marTop w:val="0"/>
                                                  <w:marBottom w:val="0"/>
                                                  <w:divBdr>
                                                    <w:top w:val="none" w:sz="0" w:space="0" w:color="auto"/>
                                                    <w:left w:val="none" w:sz="0" w:space="0" w:color="auto"/>
                                                    <w:bottom w:val="none" w:sz="0" w:space="0" w:color="auto"/>
                                                    <w:right w:val="none" w:sz="0" w:space="0" w:color="auto"/>
                                                  </w:divBdr>
                                                </w:div>
                                                <w:div w:id="863904715">
                                                  <w:marLeft w:val="0"/>
                                                  <w:marRight w:val="0"/>
                                                  <w:marTop w:val="0"/>
                                                  <w:marBottom w:val="0"/>
                                                  <w:divBdr>
                                                    <w:top w:val="none" w:sz="0" w:space="0" w:color="auto"/>
                                                    <w:left w:val="none" w:sz="0" w:space="0" w:color="auto"/>
                                                    <w:bottom w:val="none" w:sz="0" w:space="0" w:color="auto"/>
                                                    <w:right w:val="none" w:sz="0" w:space="0" w:color="auto"/>
                                                  </w:divBdr>
                                                </w:div>
                                                <w:div w:id="835070799">
                                                  <w:marLeft w:val="0"/>
                                                  <w:marRight w:val="0"/>
                                                  <w:marTop w:val="0"/>
                                                  <w:marBottom w:val="0"/>
                                                  <w:divBdr>
                                                    <w:top w:val="none" w:sz="0" w:space="0" w:color="auto"/>
                                                    <w:left w:val="none" w:sz="0" w:space="0" w:color="auto"/>
                                                    <w:bottom w:val="none" w:sz="0" w:space="0" w:color="auto"/>
                                                    <w:right w:val="none" w:sz="0" w:space="0" w:color="auto"/>
                                                  </w:divBdr>
                                                </w:div>
                                                <w:div w:id="153500300">
                                                  <w:marLeft w:val="0"/>
                                                  <w:marRight w:val="0"/>
                                                  <w:marTop w:val="0"/>
                                                  <w:marBottom w:val="0"/>
                                                  <w:divBdr>
                                                    <w:top w:val="none" w:sz="0" w:space="0" w:color="auto"/>
                                                    <w:left w:val="none" w:sz="0" w:space="0" w:color="auto"/>
                                                    <w:bottom w:val="none" w:sz="0" w:space="0" w:color="auto"/>
                                                    <w:right w:val="none" w:sz="0" w:space="0" w:color="auto"/>
                                                  </w:divBdr>
                                                </w:div>
                                                <w:div w:id="633559218">
                                                  <w:marLeft w:val="0"/>
                                                  <w:marRight w:val="0"/>
                                                  <w:marTop w:val="0"/>
                                                  <w:marBottom w:val="0"/>
                                                  <w:divBdr>
                                                    <w:top w:val="none" w:sz="0" w:space="0" w:color="auto"/>
                                                    <w:left w:val="none" w:sz="0" w:space="0" w:color="auto"/>
                                                    <w:bottom w:val="none" w:sz="0" w:space="0" w:color="auto"/>
                                                    <w:right w:val="none" w:sz="0" w:space="0" w:color="auto"/>
                                                  </w:divBdr>
                                                </w:div>
                                                <w:div w:id="1161772110">
                                                  <w:marLeft w:val="0"/>
                                                  <w:marRight w:val="0"/>
                                                  <w:marTop w:val="0"/>
                                                  <w:marBottom w:val="0"/>
                                                  <w:divBdr>
                                                    <w:top w:val="none" w:sz="0" w:space="0" w:color="auto"/>
                                                    <w:left w:val="none" w:sz="0" w:space="0" w:color="auto"/>
                                                    <w:bottom w:val="none" w:sz="0" w:space="0" w:color="auto"/>
                                                    <w:right w:val="none" w:sz="0" w:space="0" w:color="auto"/>
                                                  </w:divBdr>
                                                </w:div>
                                                <w:div w:id="435638457">
                                                  <w:marLeft w:val="0"/>
                                                  <w:marRight w:val="0"/>
                                                  <w:marTop w:val="0"/>
                                                  <w:marBottom w:val="0"/>
                                                  <w:divBdr>
                                                    <w:top w:val="none" w:sz="0" w:space="0" w:color="auto"/>
                                                    <w:left w:val="none" w:sz="0" w:space="0" w:color="auto"/>
                                                    <w:bottom w:val="none" w:sz="0" w:space="0" w:color="auto"/>
                                                    <w:right w:val="none" w:sz="0" w:space="0" w:color="auto"/>
                                                  </w:divBdr>
                                                </w:div>
                                                <w:div w:id="1539733095">
                                                  <w:marLeft w:val="0"/>
                                                  <w:marRight w:val="0"/>
                                                  <w:marTop w:val="0"/>
                                                  <w:marBottom w:val="0"/>
                                                  <w:divBdr>
                                                    <w:top w:val="none" w:sz="0" w:space="0" w:color="auto"/>
                                                    <w:left w:val="none" w:sz="0" w:space="0" w:color="auto"/>
                                                    <w:bottom w:val="none" w:sz="0" w:space="0" w:color="auto"/>
                                                    <w:right w:val="none" w:sz="0" w:space="0" w:color="auto"/>
                                                  </w:divBdr>
                                                </w:div>
                                                <w:div w:id="2004239680">
                                                  <w:marLeft w:val="0"/>
                                                  <w:marRight w:val="0"/>
                                                  <w:marTop w:val="0"/>
                                                  <w:marBottom w:val="0"/>
                                                  <w:divBdr>
                                                    <w:top w:val="none" w:sz="0" w:space="0" w:color="auto"/>
                                                    <w:left w:val="none" w:sz="0" w:space="0" w:color="auto"/>
                                                    <w:bottom w:val="none" w:sz="0" w:space="0" w:color="auto"/>
                                                    <w:right w:val="none" w:sz="0" w:space="0" w:color="auto"/>
                                                  </w:divBdr>
                                                </w:div>
                                                <w:div w:id="1434132379">
                                                  <w:marLeft w:val="0"/>
                                                  <w:marRight w:val="0"/>
                                                  <w:marTop w:val="0"/>
                                                  <w:marBottom w:val="0"/>
                                                  <w:divBdr>
                                                    <w:top w:val="none" w:sz="0" w:space="0" w:color="auto"/>
                                                    <w:left w:val="none" w:sz="0" w:space="0" w:color="auto"/>
                                                    <w:bottom w:val="none" w:sz="0" w:space="0" w:color="auto"/>
                                                    <w:right w:val="none" w:sz="0" w:space="0" w:color="auto"/>
                                                  </w:divBdr>
                                                </w:div>
                                                <w:div w:id="377778993">
                                                  <w:marLeft w:val="0"/>
                                                  <w:marRight w:val="0"/>
                                                  <w:marTop w:val="0"/>
                                                  <w:marBottom w:val="0"/>
                                                  <w:divBdr>
                                                    <w:top w:val="none" w:sz="0" w:space="0" w:color="auto"/>
                                                    <w:left w:val="none" w:sz="0" w:space="0" w:color="auto"/>
                                                    <w:bottom w:val="none" w:sz="0" w:space="0" w:color="auto"/>
                                                    <w:right w:val="none" w:sz="0" w:space="0" w:color="auto"/>
                                                  </w:divBdr>
                                                </w:div>
                                                <w:div w:id="1430272631">
                                                  <w:marLeft w:val="0"/>
                                                  <w:marRight w:val="0"/>
                                                  <w:marTop w:val="0"/>
                                                  <w:marBottom w:val="0"/>
                                                  <w:divBdr>
                                                    <w:top w:val="none" w:sz="0" w:space="0" w:color="auto"/>
                                                    <w:left w:val="none" w:sz="0" w:space="0" w:color="auto"/>
                                                    <w:bottom w:val="none" w:sz="0" w:space="0" w:color="auto"/>
                                                    <w:right w:val="none" w:sz="0" w:space="0" w:color="auto"/>
                                                  </w:divBdr>
                                                </w:div>
                                                <w:div w:id="2005475740">
                                                  <w:marLeft w:val="0"/>
                                                  <w:marRight w:val="0"/>
                                                  <w:marTop w:val="0"/>
                                                  <w:marBottom w:val="0"/>
                                                  <w:divBdr>
                                                    <w:top w:val="none" w:sz="0" w:space="0" w:color="auto"/>
                                                    <w:left w:val="none" w:sz="0" w:space="0" w:color="auto"/>
                                                    <w:bottom w:val="none" w:sz="0" w:space="0" w:color="auto"/>
                                                    <w:right w:val="none" w:sz="0" w:space="0" w:color="auto"/>
                                                  </w:divBdr>
                                                </w:div>
                                                <w:div w:id="1961717190">
                                                  <w:marLeft w:val="0"/>
                                                  <w:marRight w:val="0"/>
                                                  <w:marTop w:val="0"/>
                                                  <w:marBottom w:val="0"/>
                                                  <w:divBdr>
                                                    <w:top w:val="none" w:sz="0" w:space="0" w:color="auto"/>
                                                    <w:left w:val="none" w:sz="0" w:space="0" w:color="auto"/>
                                                    <w:bottom w:val="none" w:sz="0" w:space="0" w:color="auto"/>
                                                    <w:right w:val="none" w:sz="0" w:space="0" w:color="auto"/>
                                                  </w:divBdr>
                                                </w:div>
                                                <w:div w:id="1682665156">
                                                  <w:marLeft w:val="0"/>
                                                  <w:marRight w:val="0"/>
                                                  <w:marTop w:val="0"/>
                                                  <w:marBottom w:val="0"/>
                                                  <w:divBdr>
                                                    <w:top w:val="none" w:sz="0" w:space="0" w:color="auto"/>
                                                    <w:left w:val="none" w:sz="0" w:space="0" w:color="auto"/>
                                                    <w:bottom w:val="none" w:sz="0" w:space="0" w:color="auto"/>
                                                    <w:right w:val="none" w:sz="0" w:space="0" w:color="auto"/>
                                                  </w:divBdr>
                                                </w:div>
                                                <w:div w:id="137236000">
                                                  <w:marLeft w:val="0"/>
                                                  <w:marRight w:val="0"/>
                                                  <w:marTop w:val="0"/>
                                                  <w:marBottom w:val="0"/>
                                                  <w:divBdr>
                                                    <w:top w:val="none" w:sz="0" w:space="0" w:color="auto"/>
                                                    <w:left w:val="none" w:sz="0" w:space="0" w:color="auto"/>
                                                    <w:bottom w:val="none" w:sz="0" w:space="0" w:color="auto"/>
                                                    <w:right w:val="none" w:sz="0" w:space="0" w:color="auto"/>
                                                  </w:divBdr>
                                                </w:div>
                                                <w:div w:id="1957251831">
                                                  <w:marLeft w:val="0"/>
                                                  <w:marRight w:val="0"/>
                                                  <w:marTop w:val="0"/>
                                                  <w:marBottom w:val="0"/>
                                                  <w:divBdr>
                                                    <w:top w:val="none" w:sz="0" w:space="0" w:color="auto"/>
                                                    <w:left w:val="none" w:sz="0" w:space="0" w:color="auto"/>
                                                    <w:bottom w:val="none" w:sz="0" w:space="0" w:color="auto"/>
                                                    <w:right w:val="none" w:sz="0" w:space="0" w:color="auto"/>
                                                  </w:divBdr>
                                                </w:div>
                                                <w:div w:id="2120253233">
                                                  <w:marLeft w:val="0"/>
                                                  <w:marRight w:val="0"/>
                                                  <w:marTop w:val="0"/>
                                                  <w:marBottom w:val="0"/>
                                                  <w:divBdr>
                                                    <w:top w:val="none" w:sz="0" w:space="0" w:color="auto"/>
                                                    <w:left w:val="none" w:sz="0" w:space="0" w:color="auto"/>
                                                    <w:bottom w:val="none" w:sz="0" w:space="0" w:color="auto"/>
                                                    <w:right w:val="none" w:sz="0" w:space="0" w:color="auto"/>
                                                  </w:divBdr>
                                                </w:div>
                                                <w:div w:id="951934308">
                                                  <w:marLeft w:val="0"/>
                                                  <w:marRight w:val="0"/>
                                                  <w:marTop w:val="0"/>
                                                  <w:marBottom w:val="0"/>
                                                  <w:divBdr>
                                                    <w:top w:val="none" w:sz="0" w:space="0" w:color="auto"/>
                                                    <w:left w:val="none" w:sz="0" w:space="0" w:color="auto"/>
                                                    <w:bottom w:val="none" w:sz="0" w:space="0" w:color="auto"/>
                                                    <w:right w:val="none" w:sz="0" w:space="0" w:color="auto"/>
                                                  </w:divBdr>
                                                </w:div>
                                                <w:div w:id="1735082309">
                                                  <w:marLeft w:val="0"/>
                                                  <w:marRight w:val="0"/>
                                                  <w:marTop w:val="0"/>
                                                  <w:marBottom w:val="0"/>
                                                  <w:divBdr>
                                                    <w:top w:val="none" w:sz="0" w:space="0" w:color="auto"/>
                                                    <w:left w:val="none" w:sz="0" w:space="0" w:color="auto"/>
                                                    <w:bottom w:val="none" w:sz="0" w:space="0" w:color="auto"/>
                                                    <w:right w:val="none" w:sz="0" w:space="0" w:color="auto"/>
                                                  </w:divBdr>
                                                </w:div>
                                                <w:div w:id="79298793">
                                                  <w:marLeft w:val="0"/>
                                                  <w:marRight w:val="0"/>
                                                  <w:marTop w:val="0"/>
                                                  <w:marBottom w:val="0"/>
                                                  <w:divBdr>
                                                    <w:top w:val="none" w:sz="0" w:space="0" w:color="auto"/>
                                                    <w:left w:val="none" w:sz="0" w:space="0" w:color="auto"/>
                                                    <w:bottom w:val="none" w:sz="0" w:space="0" w:color="auto"/>
                                                    <w:right w:val="none" w:sz="0" w:space="0" w:color="auto"/>
                                                  </w:divBdr>
                                                </w:div>
                                                <w:div w:id="1800607698">
                                                  <w:marLeft w:val="0"/>
                                                  <w:marRight w:val="0"/>
                                                  <w:marTop w:val="0"/>
                                                  <w:marBottom w:val="0"/>
                                                  <w:divBdr>
                                                    <w:top w:val="none" w:sz="0" w:space="0" w:color="auto"/>
                                                    <w:left w:val="none" w:sz="0" w:space="0" w:color="auto"/>
                                                    <w:bottom w:val="none" w:sz="0" w:space="0" w:color="auto"/>
                                                    <w:right w:val="none" w:sz="0" w:space="0" w:color="auto"/>
                                                  </w:divBdr>
                                                </w:div>
                                                <w:div w:id="1773890081">
                                                  <w:marLeft w:val="0"/>
                                                  <w:marRight w:val="0"/>
                                                  <w:marTop w:val="0"/>
                                                  <w:marBottom w:val="0"/>
                                                  <w:divBdr>
                                                    <w:top w:val="none" w:sz="0" w:space="0" w:color="auto"/>
                                                    <w:left w:val="none" w:sz="0" w:space="0" w:color="auto"/>
                                                    <w:bottom w:val="none" w:sz="0" w:space="0" w:color="auto"/>
                                                    <w:right w:val="none" w:sz="0" w:space="0" w:color="auto"/>
                                                  </w:divBdr>
                                                </w:div>
                                                <w:div w:id="356007948">
                                                  <w:marLeft w:val="0"/>
                                                  <w:marRight w:val="0"/>
                                                  <w:marTop w:val="0"/>
                                                  <w:marBottom w:val="0"/>
                                                  <w:divBdr>
                                                    <w:top w:val="none" w:sz="0" w:space="0" w:color="auto"/>
                                                    <w:left w:val="none" w:sz="0" w:space="0" w:color="auto"/>
                                                    <w:bottom w:val="none" w:sz="0" w:space="0" w:color="auto"/>
                                                    <w:right w:val="none" w:sz="0" w:space="0" w:color="auto"/>
                                                  </w:divBdr>
                                                </w:div>
                                                <w:div w:id="605966417">
                                                  <w:marLeft w:val="0"/>
                                                  <w:marRight w:val="0"/>
                                                  <w:marTop w:val="0"/>
                                                  <w:marBottom w:val="0"/>
                                                  <w:divBdr>
                                                    <w:top w:val="none" w:sz="0" w:space="0" w:color="auto"/>
                                                    <w:left w:val="none" w:sz="0" w:space="0" w:color="auto"/>
                                                    <w:bottom w:val="none" w:sz="0" w:space="0" w:color="auto"/>
                                                    <w:right w:val="none" w:sz="0" w:space="0" w:color="auto"/>
                                                  </w:divBdr>
                                                </w:div>
                                                <w:div w:id="1368524663">
                                                  <w:marLeft w:val="0"/>
                                                  <w:marRight w:val="0"/>
                                                  <w:marTop w:val="0"/>
                                                  <w:marBottom w:val="0"/>
                                                  <w:divBdr>
                                                    <w:top w:val="none" w:sz="0" w:space="0" w:color="auto"/>
                                                    <w:left w:val="none" w:sz="0" w:space="0" w:color="auto"/>
                                                    <w:bottom w:val="none" w:sz="0" w:space="0" w:color="auto"/>
                                                    <w:right w:val="none" w:sz="0" w:space="0" w:color="auto"/>
                                                  </w:divBdr>
                                                </w:div>
                                                <w:div w:id="2073386210">
                                                  <w:marLeft w:val="0"/>
                                                  <w:marRight w:val="0"/>
                                                  <w:marTop w:val="0"/>
                                                  <w:marBottom w:val="0"/>
                                                  <w:divBdr>
                                                    <w:top w:val="none" w:sz="0" w:space="0" w:color="auto"/>
                                                    <w:left w:val="none" w:sz="0" w:space="0" w:color="auto"/>
                                                    <w:bottom w:val="none" w:sz="0" w:space="0" w:color="auto"/>
                                                    <w:right w:val="none" w:sz="0" w:space="0" w:color="auto"/>
                                                  </w:divBdr>
                                                </w:div>
                                                <w:div w:id="1948077273">
                                                  <w:marLeft w:val="0"/>
                                                  <w:marRight w:val="0"/>
                                                  <w:marTop w:val="0"/>
                                                  <w:marBottom w:val="0"/>
                                                  <w:divBdr>
                                                    <w:top w:val="none" w:sz="0" w:space="0" w:color="auto"/>
                                                    <w:left w:val="none" w:sz="0" w:space="0" w:color="auto"/>
                                                    <w:bottom w:val="none" w:sz="0" w:space="0" w:color="auto"/>
                                                    <w:right w:val="none" w:sz="0" w:space="0" w:color="auto"/>
                                                  </w:divBdr>
                                                </w:div>
                                                <w:div w:id="782308256">
                                                  <w:marLeft w:val="0"/>
                                                  <w:marRight w:val="0"/>
                                                  <w:marTop w:val="0"/>
                                                  <w:marBottom w:val="0"/>
                                                  <w:divBdr>
                                                    <w:top w:val="none" w:sz="0" w:space="0" w:color="auto"/>
                                                    <w:left w:val="none" w:sz="0" w:space="0" w:color="auto"/>
                                                    <w:bottom w:val="none" w:sz="0" w:space="0" w:color="auto"/>
                                                    <w:right w:val="none" w:sz="0" w:space="0" w:color="auto"/>
                                                  </w:divBdr>
                                                </w:div>
                                                <w:div w:id="2006938364">
                                                  <w:marLeft w:val="0"/>
                                                  <w:marRight w:val="0"/>
                                                  <w:marTop w:val="0"/>
                                                  <w:marBottom w:val="0"/>
                                                  <w:divBdr>
                                                    <w:top w:val="none" w:sz="0" w:space="0" w:color="auto"/>
                                                    <w:left w:val="none" w:sz="0" w:space="0" w:color="auto"/>
                                                    <w:bottom w:val="none" w:sz="0" w:space="0" w:color="auto"/>
                                                    <w:right w:val="none" w:sz="0" w:space="0" w:color="auto"/>
                                                  </w:divBdr>
                                                </w:div>
                                                <w:div w:id="1270312196">
                                                  <w:marLeft w:val="0"/>
                                                  <w:marRight w:val="0"/>
                                                  <w:marTop w:val="0"/>
                                                  <w:marBottom w:val="0"/>
                                                  <w:divBdr>
                                                    <w:top w:val="none" w:sz="0" w:space="0" w:color="auto"/>
                                                    <w:left w:val="none" w:sz="0" w:space="0" w:color="auto"/>
                                                    <w:bottom w:val="none" w:sz="0" w:space="0" w:color="auto"/>
                                                    <w:right w:val="none" w:sz="0" w:space="0" w:color="auto"/>
                                                  </w:divBdr>
                                                </w:div>
                                                <w:div w:id="1646087684">
                                                  <w:marLeft w:val="0"/>
                                                  <w:marRight w:val="0"/>
                                                  <w:marTop w:val="0"/>
                                                  <w:marBottom w:val="0"/>
                                                  <w:divBdr>
                                                    <w:top w:val="none" w:sz="0" w:space="0" w:color="auto"/>
                                                    <w:left w:val="none" w:sz="0" w:space="0" w:color="auto"/>
                                                    <w:bottom w:val="none" w:sz="0" w:space="0" w:color="auto"/>
                                                    <w:right w:val="none" w:sz="0" w:space="0" w:color="auto"/>
                                                  </w:divBdr>
                                                </w:div>
                                                <w:div w:id="490491906">
                                                  <w:marLeft w:val="0"/>
                                                  <w:marRight w:val="0"/>
                                                  <w:marTop w:val="0"/>
                                                  <w:marBottom w:val="0"/>
                                                  <w:divBdr>
                                                    <w:top w:val="none" w:sz="0" w:space="0" w:color="auto"/>
                                                    <w:left w:val="none" w:sz="0" w:space="0" w:color="auto"/>
                                                    <w:bottom w:val="none" w:sz="0" w:space="0" w:color="auto"/>
                                                    <w:right w:val="none" w:sz="0" w:space="0" w:color="auto"/>
                                                  </w:divBdr>
                                                </w:div>
                                                <w:div w:id="20181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39717">
          <w:marLeft w:val="0"/>
          <w:marRight w:val="0"/>
          <w:marTop w:val="0"/>
          <w:marBottom w:val="0"/>
          <w:divBdr>
            <w:top w:val="none" w:sz="0" w:space="0" w:color="auto"/>
            <w:left w:val="none" w:sz="0" w:space="0" w:color="auto"/>
            <w:bottom w:val="none" w:sz="0" w:space="0" w:color="auto"/>
            <w:right w:val="none" w:sz="0" w:space="0" w:color="auto"/>
          </w:divBdr>
          <w:divsChild>
            <w:div w:id="734087023">
              <w:marLeft w:val="0"/>
              <w:marRight w:val="0"/>
              <w:marTop w:val="0"/>
              <w:marBottom w:val="0"/>
              <w:divBdr>
                <w:top w:val="none" w:sz="0" w:space="0" w:color="auto"/>
                <w:left w:val="none" w:sz="0" w:space="0" w:color="auto"/>
                <w:bottom w:val="none" w:sz="0" w:space="0" w:color="auto"/>
                <w:right w:val="none" w:sz="0" w:space="0" w:color="auto"/>
              </w:divBdr>
              <w:divsChild>
                <w:div w:id="567887921">
                  <w:marLeft w:val="0"/>
                  <w:marRight w:val="0"/>
                  <w:marTop w:val="0"/>
                  <w:marBottom w:val="0"/>
                  <w:divBdr>
                    <w:top w:val="none" w:sz="0" w:space="0" w:color="auto"/>
                    <w:left w:val="none" w:sz="0" w:space="0" w:color="auto"/>
                    <w:bottom w:val="none" w:sz="0" w:space="0" w:color="auto"/>
                    <w:right w:val="none" w:sz="0" w:space="0" w:color="auto"/>
                  </w:divBdr>
                  <w:divsChild>
                    <w:div w:id="1249656166">
                      <w:marLeft w:val="0"/>
                      <w:marRight w:val="0"/>
                      <w:marTop w:val="0"/>
                      <w:marBottom w:val="0"/>
                      <w:divBdr>
                        <w:top w:val="none" w:sz="0" w:space="0" w:color="auto"/>
                        <w:left w:val="none" w:sz="0" w:space="0" w:color="auto"/>
                        <w:bottom w:val="none" w:sz="0" w:space="0" w:color="auto"/>
                        <w:right w:val="none" w:sz="0" w:space="0" w:color="auto"/>
                      </w:divBdr>
                      <w:divsChild>
                        <w:div w:id="128599784">
                          <w:marLeft w:val="0"/>
                          <w:marRight w:val="0"/>
                          <w:marTop w:val="0"/>
                          <w:marBottom w:val="0"/>
                          <w:divBdr>
                            <w:top w:val="none" w:sz="0" w:space="0" w:color="auto"/>
                            <w:left w:val="none" w:sz="0" w:space="0" w:color="auto"/>
                            <w:bottom w:val="none" w:sz="0" w:space="0" w:color="auto"/>
                            <w:right w:val="none" w:sz="0" w:space="0" w:color="auto"/>
                          </w:divBdr>
                          <w:divsChild>
                            <w:div w:id="609506627">
                              <w:marLeft w:val="0"/>
                              <w:marRight w:val="0"/>
                              <w:marTop w:val="0"/>
                              <w:marBottom w:val="0"/>
                              <w:divBdr>
                                <w:top w:val="none" w:sz="0" w:space="0" w:color="auto"/>
                                <w:left w:val="none" w:sz="0" w:space="0" w:color="auto"/>
                                <w:bottom w:val="none" w:sz="0" w:space="0" w:color="auto"/>
                                <w:right w:val="none" w:sz="0" w:space="0" w:color="auto"/>
                              </w:divBdr>
                              <w:divsChild>
                                <w:div w:id="2057661445">
                                  <w:marLeft w:val="240"/>
                                  <w:marRight w:val="240"/>
                                  <w:marTop w:val="0"/>
                                  <w:marBottom w:val="0"/>
                                  <w:divBdr>
                                    <w:top w:val="none" w:sz="0" w:space="0" w:color="auto"/>
                                    <w:left w:val="none" w:sz="0" w:space="0" w:color="auto"/>
                                    <w:bottom w:val="none" w:sz="0" w:space="0" w:color="auto"/>
                                    <w:right w:val="none" w:sz="0" w:space="0" w:color="auto"/>
                                  </w:divBdr>
                                  <w:divsChild>
                                    <w:div w:id="1432748529">
                                      <w:marLeft w:val="0"/>
                                      <w:marRight w:val="0"/>
                                      <w:marTop w:val="0"/>
                                      <w:marBottom w:val="0"/>
                                      <w:divBdr>
                                        <w:top w:val="none" w:sz="0" w:space="0" w:color="auto"/>
                                        <w:left w:val="none" w:sz="0" w:space="0" w:color="auto"/>
                                        <w:bottom w:val="none" w:sz="0" w:space="0" w:color="auto"/>
                                        <w:right w:val="none" w:sz="0" w:space="0" w:color="auto"/>
                                      </w:divBdr>
                                      <w:divsChild>
                                        <w:div w:id="345133347">
                                          <w:marLeft w:val="105"/>
                                          <w:marRight w:val="0"/>
                                          <w:marTop w:val="0"/>
                                          <w:marBottom w:val="0"/>
                                          <w:divBdr>
                                            <w:top w:val="none" w:sz="0" w:space="0" w:color="auto"/>
                                            <w:left w:val="none" w:sz="0" w:space="0" w:color="auto"/>
                                            <w:bottom w:val="none" w:sz="0" w:space="0" w:color="auto"/>
                                            <w:right w:val="none" w:sz="0" w:space="0" w:color="auto"/>
                                          </w:divBdr>
                                          <w:divsChild>
                                            <w:div w:id="4980837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35048000">
                              <w:marLeft w:val="180"/>
                              <w:marRight w:val="180"/>
                              <w:marTop w:val="0"/>
                              <w:marBottom w:val="0"/>
                              <w:divBdr>
                                <w:top w:val="none" w:sz="0" w:space="0" w:color="auto"/>
                                <w:left w:val="none" w:sz="0" w:space="0" w:color="auto"/>
                                <w:bottom w:val="none" w:sz="0" w:space="0" w:color="auto"/>
                                <w:right w:val="none" w:sz="0" w:space="0" w:color="auto"/>
                              </w:divBdr>
                              <w:divsChild>
                                <w:div w:id="725684247">
                                  <w:marLeft w:val="-30"/>
                                  <w:marRight w:val="-30"/>
                                  <w:marTop w:val="0"/>
                                  <w:marBottom w:val="0"/>
                                  <w:divBdr>
                                    <w:top w:val="none" w:sz="0" w:space="0" w:color="auto"/>
                                    <w:left w:val="none" w:sz="0" w:space="0" w:color="auto"/>
                                    <w:bottom w:val="none" w:sz="0" w:space="0" w:color="auto"/>
                                    <w:right w:val="none" w:sz="0" w:space="0" w:color="auto"/>
                                  </w:divBdr>
                                  <w:divsChild>
                                    <w:div w:id="702677334">
                                      <w:marLeft w:val="0"/>
                                      <w:marRight w:val="0"/>
                                      <w:marTop w:val="0"/>
                                      <w:marBottom w:val="0"/>
                                      <w:divBdr>
                                        <w:top w:val="none" w:sz="0" w:space="0" w:color="auto"/>
                                        <w:left w:val="none" w:sz="0" w:space="0" w:color="auto"/>
                                        <w:bottom w:val="none" w:sz="0" w:space="0" w:color="auto"/>
                                        <w:right w:val="none" w:sz="0" w:space="0" w:color="auto"/>
                                      </w:divBdr>
                                      <w:divsChild>
                                        <w:div w:id="1908875311">
                                          <w:marLeft w:val="0"/>
                                          <w:marRight w:val="0"/>
                                          <w:marTop w:val="0"/>
                                          <w:marBottom w:val="0"/>
                                          <w:divBdr>
                                            <w:top w:val="single" w:sz="2" w:space="0" w:color="auto"/>
                                            <w:left w:val="single" w:sz="2" w:space="0" w:color="auto"/>
                                            <w:bottom w:val="single" w:sz="2" w:space="0" w:color="auto"/>
                                            <w:right w:val="single" w:sz="2" w:space="0" w:color="auto"/>
                                          </w:divBdr>
                                          <w:divsChild>
                                            <w:div w:id="1749497292">
                                              <w:marLeft w:val="-60"/>
                                              <w:marRight w:val="-60"/>
                                              <w:marTop w:val="0"/>
                                              <w:marBottom w:val="0"/>
                                              <w:divBdr>
                                                <w:top w:val="none" w:sz="0" w:space="0" w:color="auto"/>
                                                <w:left w:val="none" w:sz="0" w:space="0" w:color="auto"/>
                                                <w:bottom w:val="none" w:sz="0" w:space="0" w:color="auto"/>
                                                <w:right w:val="none" w:sz="0" w:space="0" w:color="auto"/>
                                              </w:divBdr>
                                              <w:divsChild>
                                                <w:div w:id="1890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6306">
                                      <w:marLeft w:val="0"/>
                                      <w:marRight w:val="0"/>
                                      <w:marTop w:val="0"/>
                                      <w:marBottom w:val="0"/>
                                      <w:divBdr>
                                        <w:top w:val="none" w:sz="0" w:space="0" w:color="auto"/>
                                        <w:left w:val="none" w:sz="0" w:space="0" w:color="auto"/>
                                        <w:bottom w:val="none" w:sz="0" w:space="0" w:color="auto"/>
                                        <w:right w:val="none" w:sz="0" w:space="0" w:color="auto"/>
                                      </w:divBdr>
                                      <w:divsChild>
                                        <w:div w:id="1194344509">
                                          <w:marLeft w:val="0"/>
                                          <w:marRight w:val="0"/>
                                          <w:marTop w:val="0"/>
                                          <w:marBottom w:val="0"/>
                                          <w:divBdr>
                                            <w:top w:val="single" w:sz="2" w:space="0" w:color="auto"/>
                                            <w:left w:val="single" w:sz="2" w:space="0" w:color="auto"/>
                                            <w:bottom w:val="single" w:sz="2" w:space="0" w:color="auto"/>
                                            <w:right w:val="single" w:sz="2" w:space="0" w:color="auto"/>
                                          </w:divBdr>
                                          <w:divsChild>
                                            <w:div w:id="1871646422">
                                              <w:marLeft w:val="-60"/>
                                              <w:marRight w:val="-60"/>
                                              <w:marTop w:val="0"/>
                                              <w:marBottom w:val="0"/>
                                              <w:divBdr>
                                                <w:top w:val="none" w:sz="0" w:space="0" w:color="auto"/>
                                                <w:left w:val="none" w:sz="0" w:space="0" w:color="auto"/>
                                                <w:bottom w:val="none" w:sz="0" w:space="0" w:color="auto"/>
                                                <w:right w:val="none" w:sz="0" w:space="0" w:color="auto"/>
                                              </w:divBdr>
                                              <w:divsChild>
                                                <w:div w:id="10335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1673">
                                      <w:marLeft w:val="0"/>
                                      <w:marRight w:val="0"/>
                                      <w:marTop w:val="0"/>
                                      <w:marBottom w:val="0"/>
                                      <w:divBdr>
                                        <w:top w:val="none" w:sz="0" w:space="0" w:color="auto"/>
                                        <w:left w:val="none" w:sz="0" w:space="0" w:color="auto"/>
                                        <w:bottom w:val="none" w:sz="0" w:space="0" w:color="auto"/>
                                        <w:right w:val="none" w:sz="0" w:space="0" w:color="auto"/>
                                      </w:divBdr>
                                      <w:divsChild>
                                        <w:div w:id="946812158">
                                          <w:marLeft w:val="0"/>
                                          <w:marRight w:val="0"/>
                                          <w:marTop w:val="0"/>
                                          <w:marBottom w:val="0"/>
                                          <w:divBdr>
                                            <w:top w:val="single" w:sz="2" w:space="0" w:color="auto"/>
                                            <w:left w:val="single" w:sz="2" w:space="0" w:color="auto"/>
                                            <w:bottom w:val="single" w:sz="2" w:space="0" w:color="auto"/>
                                            <w:right w:val="single" w:sz="2" w:space="0" w:color="auto"/>
                                          </w:divBdr>
                                          <w:divsChild>
                                            <w:div w:id="968975612">
                                              <w:marLeft w:val="-60"/>
                                              <w:marRight w:val="-60"/>
                                              <w:marTop w:val="0"/>
                                              <w:marBottom w:val="0"/>
                                              <w:divBdr>
                                                <w:top w:val="none" w:sz="0" w:space="0" w:color="auto"/>
                                                <w:left w:val="none" w:sz="0" w:space="0" w:color="auto"/>
                                                <w:bottom w:val="none" w:sz="0" w:space="0" w:color="auto"/>
                                                <w:right w:val="none" w:sz="0" w:space="0" w:color="auto"/>
                                              </w:divBdr>
                                              <w:divsChild>
                                                <w:div w:id="8164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71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848</Words>
  <Characters>5853</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ASP5</dc:creator>
  <cp:keywords/>
  <dc:description/>
  <cp:lastModifiedBy>ASP5</cp:lastModifiedBy>
  <cp:revision>3</cp:revision>
  <dcterms:created xsi:type="dcterms:W3CDTF">2022-09-13T14:38:00Z</dcterms:created>
  <dcterms:modified xsi:type="dcterms:W3CDTF">2022-09-13T14:42:00Z</dcterms:modified>
</cp:coreProperties>
</file>